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韩国全北大学交流项目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韩国全北国立大学，是韩国10所国立旗帜大学之一，亦是其中历史最为悠久者。坐落在韩国南部全罗北道的全州市，占地面积1,300,000平方米，是韩国校园面积最大的学校之一。校园风景优美，安静而又充满活力，拥有优质的教育与研究环境及设施。 开校以来全北大学为地域及国家发展做出了重要贡献，在英国全球大学评估机构QS(Quacquarelli Symonds)和朝鲜日报共同举办的“2015年亚洲大学评估”中占据了亚洲第74位，国内综合性大学第11位。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北大学是以1947年道立里里农学大学为母体，合并明伦学院和君山大学馆，5个学院，16个专业，2700名学生出发，现具备两个专门研究生院，14个学院，22个系，36个专业及研究生院，特殊研究生院的，成长为地区据点的起带头作用的大学。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2015年1月，韩国中央日报公布韩国大学排名。国立大学中，全北大学仅次于首尔大和釜山大，与庆北大并列全国第3名。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325120</wp:posOffset>
            </wp:positionV>
            <wp:extent cx="2581275" cy="1938655"/>
            <wp:effectExtent l="0" t="0" r="9525" b="4445"/>
            <wp:wrapSquare wrapText="bothSides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学校排名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CWUR世界大学排名(2015) 422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QS亚洲大学排名（2015） 74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CWUR世界大学排名(2014) 406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QS亚洲大学排名（2014） 87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韩国中央日报国内排名（2014）19</w:t>
      </w:r>
    </w:p>
    <w:p>
      <w:pPr>
        <w:widowControl/>
        <w:wordWrap/>
        <w:autoSpaceDE/>
        <w:autoSpaceDN/>
        <w:spacing w:before="100" w:beforeAutospacing="1" w:after="100" w:afterAutospacing="1" w:line="228" w:lineRule="auto"/>
        <w:ind w:firstLine="720" w:firstLineChars="30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</w:p>
    <w:p>
      <w:pPr>
        <w:widowControl/>
        <w:wordWrap/>
        <w:autoSpaceDE/>
        <w:autoSpaceDN/>
        <w:spacing w:before="100" w:beforeAutospacing="1" w:after="100" w:afterAutospacing="1" w:line="228" w:lineRule="auto"/>
        <w:ind w:firstLine="720" w:firstLineChars="30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韩国全北大学交流项目课程设置</w:t>
      </w:r>
    </w:p>
    <w:p>
      <w:pPr>
        <w:widowControl/>
        <w:wordWrap/>
        <w:autoSpaceDE/>
        <w:autoSpaceDN/>
        <w:spacing w:before="100" w:beforeAutospacing="1" w:after="100" w:afterAutospacing="1" w:line="228" w:lineRule="auto"/>
        <w:ind w:firstLine="720" w:firstLineChars="300"/>
        <w:jc w:val="left"/>
        <w:rPr>
          <w:rFonts w:ascii="宋体" w:hAnsi="宋体" w:eastAsia="宋体" w:cs="굴림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 xml:space="preserve">- </w:t>
      </w:r>
      <w:r>
        <w:rPr>
          <w:rFonts w:hint="eastAsia" w:ascii="宋体" w:hAnsi="宋体" w:eastAsia="宋体" w:cs="새굴림"/>
          <w:color w:val="000000"/>
          <w:kern w:val="0"/>
          <w:sz w:val="24"/>
          <w:szCs w:val="24"/>
          <w:lang w:eastAsia="zh-CN"/>
        </w:rPr>
        <w:t>国际学</w:t>
      </w:r>
      <w:r>
        <w:rPr>
          <w:rFonts w:hint="eastAsia" w:ascii="宋体" w:hAnsi="宋体" w:eastAsia="宋体" w:cs="굴림"/>
          <w:color w:val="000000"/>
          <w:kern w:val="0"/>
          <w:sz w:val="24"/>
          <w:szCs w:val="24"/>
          <w:lang w:eastAsia="zh-CN"/>
        </w:rPr>
        <w:t>部</w:t>
      </w:r>
      <w:r>
        <w:rPr>
          <w:rFonts w:hint="eastAsia" w:ascii="宋体" w:hAnsi="宋体" w:eastAsia="宋体" w:cs="새굴림"/>
          <w:color w:val="000000"/>
          <w:kern w:val="0"/>
          <w:sz w:val="24"/>
          <w:szCs w:val="24"/>
          <w:lang w:eastAsia="zh-CN"/>
        </w:rPr>
        <w:t>课</w:t>
      </w:r>
      <w:r>
        <w:rPr>
          <w:rFonts w:hint="eastAsia" w:ascii="宋体" w:hAnsi="宋体" w:eastAsia="宋体" w:cs="굴림"/>
          <w:color w:val="000000"/>
          <w:kern w:val="0"/>
          <w:sz w:val="24"/>
          <w:szCs w:val="24"/>
          <w:lang w:eastAsia="zh-CN"/>
        </w:rPr>
        <w:t>程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(春季是第一</w:t>
      </w:r>
      <w:r>
        <w:rPr>
          <w:rFonts w:hint="eastAsia" w:ascii="宋体" w:hAnsi="宋体" w:eastAsia="宋体" w:cs="새굴림"/>
          <w:color w:val="000000"/>
          <w:kern w:val="0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굴림"/>
          <w:color w:val="000000"/>
          <w:kern w:val="0"/>
          <w:sz w:val="24"/>
          <w:szCs w:val="24"/>
          <w:lang w:eastAsia="zh-CN"/>
        </w:rPr>
        <w:t>期，秋季是第二</w:t>
      </w:r>
      <w:r>
        <w:rPr>
          <w:rFonts w:hint="eastAsia" w:ascii="宋体" w:hAnsi="宋体" w:eastAsia="宋体" w:cs="새굴림"/>
          <w:color w:val="000000"/>
          <w:kern w:val="0"/>
          <w:sz w:val="24"/>
          <w:szCs w:val="24"/>
          <w:lang w:eastAsia="zh-CN"/>
        </w:rPr>
        <w:t>学</w:t>
      </w:r>
      <w:r>
        <w:rPr>
          <w:rFonts w:hint="eastAsia" w:ascii="宋体" w:hAnsi="宋体" w:eastAsia="宋体" w:cs="굴림"/>
          <w:color w:val="000000"/>
          <w:kern w:val="0"/>
          <w:sz w:val="24"/>
          <w:szCs w:val="24"/>
          <w:lang w:eastAsia="zh-CN"/>
        </w:rPr>
        <w:t>期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)</w:t>
      </w:r>
    </w:p>
    <w:tbl>
      <w:tblPr>
        <w:tblStyle w:val="5"/>
        <w:tblW w:w="8361" w:type="dxa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306"/>
        <w:gridCol w:w="4140"/>
        <w:gridCol w:w="19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1F6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Grade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1F6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Semester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1F6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Subject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1F6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Credit-Lecture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International Relations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International Economics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International Development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International Management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International Organizations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Sustainable Development and Principles of Sustainability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Understanding International Law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Foreign Policy Analysis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Area Study</w:t>
            </w:r>
            <w:r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International Commerce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Multinational CorporationsM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Global Issues in Development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International Economic Law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Area Study</w:t>
            </w:r>
            <w:r>
              <w:rPr>
                <w:rFonts w:ascii="宋体" w:hAnsi="宋体" w:eastAsia="宋体" w:cs="Times New Roman"/>
                <w:bCs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97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center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Third World Culture, History and Civilizations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International Security and Peace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ODA Policies in Global Development Strategy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NGOs and Global Governance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spacing w:line="228" w:lineRule="auto"/>
              <w:jc w:val="left"/>
              <w:rPr>
                <w:rFonts w:asci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Internship 1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utoSpaceDE/>
              <w:autoSpaceDN/>
              <w:spacing w:before="100" w:beforeAutospacing="1" w:after="100" w:afterAutospacing="1" w:line="228" w:lineRule="auto"/>
              <w:jc w:val="center"/>
              <w:rPr>
                <w:rFonts w:asci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 w:cs="Times New Roman"/>
                <w:bCs/>
                <w:color w:val="000000"/>
                <w:kern w:val="0"/>
                <w:sz w:val="22"/>
                <w:szCs w:val="22"/>
              </w:rPr>
              <w:t>3-3</w:t>
            </w: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更多出国交流、留学资讯，请及时关注“建大出国”。</w:t>
      </w:r>
    </w:p>
    <w:p>
      <w:pPr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90170</wp:posOffset>
            </wp:positionV>
            <wp:extent cx="2350770" cy="2350770"/>
            <wp:effectExtent l="0" t="0" r="11430" b="11430"/>
            <wp:wrapTight wrapText="bothSides">
              <wp:wrapPolygon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" name="图片 1" descr="微信公共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公共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国际交流处</w:t>
      </w:r>
    </w:p>
    <w:p>
      <w:pPr>
        <w:jc w:val="left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2016年6月20日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바탕">
    <w:altName w:val="Calibri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altName w:val="Calibri"/>
    <w:panose1 w:val="020B0503020000020004"/>
    <w:charset w:val="81"/>
    <w:family w:val="modern"/>
    <w:pitch w:val="default"/>
    <w:sig w:usb0="00000000" w:usb1="00000000" w:usb2="00000012" w:usb3="00000000" w:csb0="00080001" w:csb1="00000000"/>
  </w:font>
  <w:font w:name="ÈÞ¸Õ¸ðÀ½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굴림">
    <w:altName w:val="Calibri"/>
    <w:panose1 w:val="020B0600000101010101"/>
    <w:charset w:val="81"/>
    <w:family w:val="modern"/>
    <w:pitch w:val="default"/>
    <w:sig w:usb0="00000000" w:usb1="00000000" w:usb2="00000030" w:usb3="00000000" w:csb0="0008009F" w:csb1="00000000"/>
  </w:font>
  <w:font w:name="휴먼모음T">
    <w:altName w:val="Calibri"/>
    <w:panose1 w:val="02030504000101010101"/>
    <w:charset w:val="81"/>
    <w:family w:val="roman"/>
    <w:pitch w:val="default"/>
    <w:sig w:usb0="00000000" w:usb1="00000000" w:usb2="00000010" w:usb3="00000000" w:csb0="00080000" w:csb1="00000000"/>
  </w:font>
  <w:font w:name="한양해서">
    <w:altName w:val="Calibri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새굴림">
    <w:altName w:val="Calibri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altName w:val="MingLiU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(使用中文字型)">
    <w:altName w:val="PMingLiU"/>
    <w:panose1 w:val="00000000000000000000"/>
    <w:charset w:val="88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NEEMLC+SingkaiEG-Bold-Big5">
    <w:altName w:val="PMingLiU"/>
    <w:panose1 w:val="00000000000000000000"/>
    <w:charset w:val="88"/>
    <w:family w:val="roman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script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1092C"/>
    <w:rsid w:val="0F832E76"/>
    <w:rsid w:val="18B95E3E"/>
    <w:rsid w:val="45F91E4B"/>
    <w:rsid w:val="595003E9"/>
    <w:rsid w:val="60D81C8E"/>
    <w:rsid w:val="71F555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2016-06-20T00:46:09Z</cp:lastPrinted>
  <dcterms:modified xsi:type="dcterms:W3CDTF">2016-06-20T00:46:12Z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